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67283" w14:textId="1AD1231A" w:rsidR="00955449" w:rsidRPr="004117F0" w:rsidRDefault="00955449" w:rsidP="00955449">
      <w:pPr>
        <w:widowControl w:val="0"/>
        <w:tabs>
          <w:tab w:val="right" w:pos="9639"/>
        </w:tabs>
        <w:spacing w:after="0"/>
        <w:rPr>
          <w:rFonts w:ascii="Arial" w:hAnsi="Arial" w:cs="Arial"/>
          <w:b/>
          <w:bCs/>
          <w:sz w:val="24"/>
        </w:rPr>
      </w:pPr>
      <w:bookmarkStart w:id="0" w:name="_Hlk54275161"/>
      <w:bookmarkStart w:id="1" w:name="_Toc142579058"/>
      <w:bookmarkEnd w:id="0"/>
      <w:r w:rsidRPr="004117F0">
        <w:rPr>
          <w:rFonts w:ascii="Arial" w:hAnsi="Arial" w:cs="Arial"/>
          <w:b/>
          <w:sz w:val="24"/>
        </w:rPr>
        <w:t>3GPP TSG-RAN WG2 #125bis</w:t>
      </w:r>
      <w:r w:rsidRPr="004117F0">
        <w:rPr>
          <w:rFonts w:ascii="Arial" w:hAnsi="Arial" w:cs="Arial"/>
          <w:b/>
          <w:sz w:val="24"/>
        </w:rPr>
        <w:tab/>
      </w:r>
      <w:bookmarkEnd w:id="1"/>
      <w:r w:rsidR="00FC3817" w:rsidRPr="00FC3817">
        <w:rPr>
          <w:rFonts w:ascii="Arial" w:hAnsi="Arial" w:cs="Arial"/>
          <w:b/>
          <w:sz w:val="24"/>
        </w:rPr>
        <w:t>R2-2403639</w:t>
      </w:r>
    </w:p>
    <w:p w14:paraId="1EE3F2B2" w14:textId="77777777" w:rsidR="00955449" w:rsidRPr="004117F0" w:rsidRDefault="00955449" w:rsidP="00955449">
      <w:pPr>
        <w:widowControl w:val="0"/>
        <w:tabs>
          <w:tab w:val="right" w:pos="9639"/>
        </w:tabs>
        <w:spacing w:after="0"/>
        <w:rPr>
          <w:rFonts w:ascii="Arial" w:hAnsi="Arial" w:cs="Arial"/>
          <w:b/>
          <w:sz w:val="24"/>
        </w:rPr>
      </w:pPr>
      <w:r w:rsidRPr="004117F0">
        <w:rPr>
          <w:rFonts w:ascii="Arial" w:hAnsi="Arial" w:cs="Arial"/>
          <w:b/>
          <w:sz w:val="24"/>
        </w:rPr>
        <w:t>Changsha, China, April 15 – April 19, 2024</w:t>
      </w:r>
    </w:p>
    <w:p w14:paraId="2E745AE3" w14:textId="77777777" w:rsidR="00E90E49" w:rsidRPr="00663F19" w:rsidRDefault="00E90E49" w:rsidP="00357380">
      <w:pPr>
        <w:pStyle w:val="3GPPHeader"/>
      </w:pPr>
    </w:p>
    <w:p w14:paraId="40CF7388" w14:textId="08969958" w:rsidR="00E90E49" w:rsidRPr="00663F19" w:rsidRDefault="00E90E49" w:rsidP="00311702">
      <w:pPr>
        <w:pStyle w:val="3GPPHeader"/>
        <w:rPr>
          <w:sz w:val="22"/>
        </w:rPr>
      </w:pPr>
      <w:r w:rsidRPr="00663F19">
        <w:rPr>
          <w:sz w:val="22"/>
        </w:rPr>
        <w:t>Agenda Item:</w:t>
      </w:r>
      <w:r w:rsidRPr="00663F19">
        <w:rPr>
          <w:sz w:val="22"/>
        </w:rPr>
        <w:tab/>
      </w:r>
      <w:r w:rsidR="00955449" w:rsidRPr="00844A36">
        <w:rPr>
          <w:sz w:val="22"/>
        </w:rPr>
        <w:t>8.8.</w:t>
      </w:r>
      <w:r w:rsidR="006F2CDE">
        <w:rPr>
          <w:sz w:val="22"/>
        </w:rPr>
        <w:t>5</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1B9D8AFF" w:rsidR="00E90E49" w:rsidRPr="00663F19" w:rsidRDefault="003D3C45" w:rsidP="00311702">
      <w:pPr>
        <w:pStyle w:val="3GPPHeader"/>
        <w:rPr>
          <w:sz w:val="22"/>
        </w:rPr>
      </w:pPr>
      <w:r w:rsidRPr="00663F19">
        <w:rPr>
          <w:sz w:val="22"/>
        </w:rPr>
        <w:t>Title:</w:t>
      </w:r>
      <w:r w:rsidR="00E90E49" w:rsidRPr="00663F19">
        <w:rPr>
          <w:sz w:val="22"/>
        </w:rPr>
        <w:tab/>
      </w:r>
      <w:r w:rsidR="006F2CDE">
        <w:rPr>
          <w:sz w:val="22"/>
        </w:rPr>
        <w:t xml:space="preserve">Stage 2 updates for regenerative payload </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CE0424">
      <w:pPr>
        <w:pStyle w:val="Heading1"/>
      </w:pPr>
      <w:r>
        <w:t>1</w:t>
      </w:r>
      <w:r>
        <w:tab/>
      </w:r>
      <w:r w:rsidR="00E90E49" w:rsidRPr="00CE0424">
        <w:t>Introduction</w:t>
      </w:r>
    </w:p>
    <w:p w14:paraId="25899144" w14:textId="778E594F" w:rsidR="002A2A3F" w:rsidRDefault="002A2A3F" w:rsidP="00CE0424">
      <w:pPr>
        <w:pStyle w:val="BodyText"/>
      </w:pPr>
      <w:r w:rsidRPr="00663F19">
        <w:t xml:space="preserve">In this contribution, we </w:t>
      </w:r>
      <w:r w:rsidR="006F2CDE">
        <w:t xml:space="preserve">discuss the </w:t>
      </w:r>
      <w:r w:rsidR="0056402C">
        <w:t xml:space="preserve">stage 2 updates </w:t>
      </w:r>
      <w:r w:rsidR="006F2CDE">
        <w:t>for regenerative payload</w:t>
      </w:r>
      <w:r w:rsidR="00672C9A" w:rsidRPr="00663F19">
        <w:t>.</w:t>
      </w:r>
      <w:r w:rsidR="006F2CDE">
        <w:t xml:space="preserve"> </w:t>
      </w:r>
    </w:p>
    <w:p w14:paraId="6617DEFC" w14:textId="77777777" w:rsidR="00DF0344" w:rsidRDefault="00DF0344" w:rsidP="00DF0344">
      <w:pPr>
        <w:spacing w:after="0" w:line="276" w:lineRule="auto"/>
        <w:rPr>
          <w:rFonts w:ascii="Arial" w:hAnsi="Arial" w:cs="Arial"/>
          <w:bCs/>
        </w:rPr>
      </w:pPr>
    </w:p>
    <w:p w14:paraId="25CA072B" w14:textId="7D0EBFCE" w:rsidR="00DF0344" w:rsidRPr="00DF0344" w:rsidRDefault="00DF0344" w:rsidP="00DF0344">
      <w:pPr>
        <w:spacing w:after="0" w:line="276" w:lineRule="auto"/>
        <w:rPr>
          <w:rFonts w:ascii="Arial" w:eastAsia="SimSun" w:hAnsi="Arial" w:cs="Arial"/>
          <w:bCs/>
          <w:kern w:val="0"/>
          <w:sz w:val="20"/>
          <w:szCs w:val="20"/>
          <w:lang w:eastAsia="en-GB"/>
          <w14:ligatures w14:val="none"/>
        </w:rPr>
      </w:pPr>
      <w:r w:rsidRPr="00DF0344">
        <w:rPr>
          <w:rFonts w:ascii="Arial" w:hAnsi="Arial" w:cs="Arial"/>
          <w:bCs/>
        </w:rPr>
        <w:t xml:space="preserve">The work item </w:t>
      </w:r>
      <w:r w:rsidRPr="00DF0344">
        <w:rPr>
          <w:rFonts w:ascii="Arial" w:hAnsi="Arial" w:cs="Arial"/>
        </w:rPr>
        <w:fldChar w:fldCharType="begin"/>
      </w:r>
      <w:r w:rsidRPr="00DF0344">
        <w:rPr>
          <w:rFonts w:ascii="Arial" w:hAnsi="Arial" w:cs="Arial"/>
        </w:rPr>
        <w:instrText xml:space="preserve"> REF _Ref45286859 \r \h </w:instrText>
      </w:r>
      <w:r>
        <w:rPr>
          <w:rFonts w:ascii="Arial" w:hAnsi="Arial" w:cs="Arial"/>
        </w:rPr>
        <w:instrText xml:space="preserve"> \* MERGEFORMAT </w:instrText>
      </w:r>
      <w:r w:rsidRPr="00DF0344">
        <w:rPr>
          <w:rFonts w:ascii="Arial" w:hAnsi="Arial" w:cs="Arial"/>
        </w:rPr>
      </w:r>
      <w:r w:rsidRPr="00DF0344">
        <w:rPr>
          <w:rFonts w:ascii="Arial" w:hAnsi="Arial" w:cs="Arial"/>
        </w:rPr>
        <w:fldChar w:fldCharType="separate"/>
      </w:r>
      <w:r w:rsidR="001F12FE">
        <w:rPr>
          <w:rFonts w:ascii="Arial" w:hAnsi="Arial" w:cs="Arial"/>
        </w:rPr>
        <w:t>[1]</w:t>
      </w:r>
      <w:r w:rsidRPr="00DF0344">
        <w:rPr>
          <w:rFonts w:ascii="Arial" w:hAnsi="Arial" w:cs="Arial"/>
        </w:rPr>
        <w:fldChar w:fldCharType="end"/>
      </w:r>
      <w:r w:rsidRPr="00DF0344">
        <w:rPr>
          <w:rFonts w:ascii="Arial" w:hAnsi="Arial" w:cs="Arial"/>
          <w:bCs/>
        </w:rPr>
        <w:t xml:space="preserve"> </w:t>
      </w:r>
      <w:r w:rsidR="0056402C">
        <w:rPr>
          <w:rFonts w:ascii="Arial" w:hAnsi="Arial" w:cs="Arial"/>
          <w:bCs/>
        </w:rPr>
        <w:t>has this</w:t>
      </w:r>
      <w:r w:rsidRPr="00DF0344">
        <w:rPr>
          <w:rFonts w:ascii="Arial" w:hAnsi="Arial" w:cs="Arial"/>
          <w:bCs/>
        </w:rPr>
        <w:t>:</w:t>
      </w:r>
    </w:p>
    <w:p w14:paraId="1C6C0E16" w14:textId="77777777" w:rsidR="00DF0344" w:rsidRDefault="00DF0344" w:rsidP="006F2CDE">
      <w:pPr>
        <w:numPr>
          <w:ilvl w:val="0"/>
          <w:numId w:val="36"/>
        </w:numPr>
        <w:overflowPunct w:val="0"/>
        <w:autoSpaceDE w:val="0"/>
        <w:autoSpaceDN w:val="0"/>
        <w:adjustRightInd w:val="0"/>
        <w:spacing w:after="0" w:line="276" w:lineRule="auto"/>
        <w:rPr>
          <w:rFonts w:eastAsia="Calibri"/>
          <w:lang w:val="en-US" w:eastAsia="ko-KR"/>
        </w:rPr>
      </w:pPr>
      <w:bookmarkStart w:id="2" w:name="_Hlk153358806"/>
      <w:r>
        <w:rPr>
          <w:rFonts w:eastAsia="Malgun Gothic"/>
          <w:lang w:val="en-US" w:eastAsia="ko-KR"/>
        </w:rPr>
        <w:t>Support of regenerative payload [RAN3, RAN2, RAN4]</w:t>
      </w:r>
    </w:p>
    <w:p w14:paraId="78651F5B"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lang w:val="en-GB" w:eastAsia="en-GB"/>
        </w:rPr>
      </w:pPr>
      <w:r>
        <w:rPr>
          <w:rFonts w:ascii="Times New Roman" w:hAnsi="Times New Roman"/>
          <w:sz w:val="20"/>
          <w:szCs w:val="20"/>
        </w:rPr>
        <w:t>Specify the support of gNB on board in TS 38.300</w:t>
      </w:r>
    </w:p>
    <w:p w14:paraId="5A70DD31"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rPr>
      </w:pPr>
      <w:r>
        <w:rPr>
          <w:rFonts w:ascii="Times New Roman" w:hAnsi="Times New Roman"/>
          <w:sz w:val="20"/>
          <w:szCs w:val="20"/>
        </w:rPr>
        <w:t>Specify, if needed, any necessary enhancements related to the intra and inter-gNB mobility, especially for Xn interface over feeder link or over ISL. [RAN3]</w:t>
      </w:r>
    </w:p>
    <w:p w14:paraId="36E299D0"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rPr>
      </w:pPr>
      <w:r>
        <w:rPr>
          <w:rFonts w:ascii="Times New Roman" w:hAnsi="Times New Roman"/>
          <w:sz w:val="20"/>
          <w:szCs w:val="20"/>
        </w:rPr>
        <w:t>Note: if any additional necessary stage-3 specifications impact for e.g. NGAP is identified, RAN3 will handle it.</w:t>
      </w:r>
    </w:p>
    <w:bookmarkEnd w:id="2"/>
    <w:p w14:paraId="01A06F40" w14:textId="77777777" w:rsidR="006F2CDE" w:rsidRDefault="006F2CDE" w:rsidP="006F2CDE">
      <w:pPr>
        <w:pStyle w:val="BodyText"/>
      </w:pPr>
    </w:p>
    <w:p w14:paraId="579AFF60" w14:textId="001611E5" w:rsidR="0056402C" w:rsidRPr="00663F19" w:rsidRDefault="0056402C" w:rsidP="006F2CDE">
      <w:pPr>
        <w:pStyle w:val="BodyText"/>
      </w:pPr>
      <w:r>
        <w:t xml:space="preserve">Here we analyse the stage </w:t>
      </w:r>
      <w:r w:rsidR="001F12FE">
        <w:t>2 and</w:t>
      </w:r>
      <w:r>
        <w:t xml:space="preserve"> describe where changes may be needed. </w:t>
      </w:r>
    </w:p>
    <w:p w14:paraId="4C9C8AB3" w14:textId="10C1DEA4" w:rsidR="004000E8" w:rsidRDefault="00230D18" w:rsidP="00CE0424">
      <w:pPr>
        <w:pStyle w:val="Heading1"/>
      </w:pPr>
      <w:bookmarkStart w:id="3" w:name="_Ref178064866"/>
      <w:r>
        <w:t>2</w:t>
      </w:r>
      <w:r>
        <w:tab/>
      </w:r>
      <w:bookmarkEnd w:id="3"/>
      <w:r w:rsidR="006F2CDE">
        <w:t>Discussion</w:t>
      </w:r>
    </w:p>
    <w:p w14:paraId="39692B08" w14:textId="79DFB0C1" w:rsidR="007712E0" w:rsidRDefault="006F2CDE" w:rsidP="003E3411">
      <w:pPr>
        <w:jc w:val="both"/>
        <w:rPr>
          <w:rFonts w:ascii="Arial" w:hAnsi="Arial" w:cs="Arial"/>
          <w:lang w:eastAsia="ja-JP"/>
        </w:rPr>
      </w:pPr>
      <w:r>
        <w:rPr>
          <w:rFonts w:ascii="Arial" w:hAnsi="Arial" w:cs="Arial"/>
          <w:lang w:eastAsia="ja-JP"/>
        </w:rPr>
        <w:t xml:space="preserve">In 3.2 Definitions we have </w:t>
      </w:r>
    </w:p>
    <w:p w14:paraId="184529BF" w14:textId="77777777" w:rsidR="006F2CDE" w:rsidRPr="00E96F07" w:rsidRDefault="006F2CDE" w:rsidP="006F2CDE">
      <w:pPr>
        <w:ind w:left="567"/>
      </w:pPr>
      <w:r w:rsidRPr="00E96F07">
        <w:rPr>
          <w:b/>
          <w:noProof/>
        </w:rPr>
        <w:t>Feeder link</w:t>
      </w:r>
      <w:r w:rsidRPr="00E96F07">
        <w:rPr>
          <w:noProof/>
        </w:rPr>
        <w:t>: wireless link between the NTN Gateway and the NTN payload.</w:t>
      </w:r>
    </w:p>
    <w:p w14:paraId="305F3CA9" w14:textId="77777777" w:rsidR="006F2CDE" w:rsidRPr="00E96F07" w:rsidRDefault="006F2CDE" w:rsidP="006F2CDE">
      <w:pPr>
        <w:ind w:left="567"/>
      </w:pPr>
      <w:r w:rsidRPr="00E96F07">
        <w:rPr>
          <w:b/>
        </w:rPr>
        <w:t>Geosynchronous Orbit</w:t>
      </w:r>
      <w:r w:rsidRPr="00E96F07">
        <w:t>: earth-centered orbit at approximately 35786 kilometres above Earth's surface and synchronised with Earth's rotation. A geostationary orbit is a non-inclined geosynchronous orbit, i.e. in the Earth's equator plane.</w:t>
      </w:r>
    </w:p>
    <w:p w14:paraId="50A6E2AE" w14:textId="77777777" w:rsidR="006F2CDE" w:rsidRPr="00E96F07" w:rsidRDefault="006F2CDE" w:rsidP="006F2CDE">
      <w:pPr>
        <w:ind w:left="567"/>
      </w:pPr>
      <w:r w:rsidRPr="00E96F07">
        <w:rPr>
          <w:b/>
        </w:rPr>
        <w:t>High Altitude Platform Station</w:t>
      </w:r>
      <w:r w:rsidRPr="00E96F07">
        <w:rPr>
          <w:bCs/>
        </w:rPr>
        <w:t xml:space="preserve">: airborne </w:t>
      </w:r>
      <w:r w:rsidRPr="00E96F07">
        <w:t>vehicle embarking the NTN payload placed at an altitude between 8 and 50 km.</w:t>
      </w:r>
    </w:p>
    <w:p w14:paraId="2D530B66" w14:textId="77777777" w:rsidR="006F2CDE" w:rsidRPr="00E96F07" w:rsidRDefault="006F2CDE" w:rsidP="006F2CDE">
      <w:pPr>
        <w:ind w:left="567"/>
      </w:pPr>
      <w:r w:rsidRPr="00E96F07">
        <w:rPr>
          <w:b/>
        </w:rPr>
        <w:t>Mapped Cell ID</w:t>
      </w:r>
      <w:r w:rsidRPr="00E96F07">
        <w:t>: in NTN, it corresponds to a fixed geographical area.</w:t>
      </w:r>
    </w:p>
    <w:p w14:paraId="65E907E4" w14:textId="77777777" w:rsidR="006F2CDE" w:rsidRPr="00E96F07" w:rsidRDefault="006F2CDE" w:rsidP="006F2CDE">
      <w:pPr>
        <w:ind w:left="567"/>
      </w:pPr>
      <w:r w:rsidRPr="00E96F07">
        <w:rPr>
          <w:b/>
          <w:bCs/>
        </w:rPr>
        <w:t>Non-Geosynchronous orbit</w:t>
      </w:r>
      <w:r w:rsidRPr="00E96F07">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37E0ACBD" w14:textId="77777777" w:rsidR="006F2CDE" w:rsidRPr="00E96F07" w:rsidRDefault="006F2CDE" w:rsidP="006F2CDE">
      <w:pPr>
        <w:ind w:left="567"/>
        <w:rPr>
          <w:b/>
        </w:rPr>
      </w:pPr>
      <w:r w:rsidRPr="00E96F07">
        <w:rPr>
          <w:b/>
        </w:rPr>
        <w:t>Non-terrestrial network</w:t>
      </w:r>
      <w:r w:rsidRPr="00E96F07">
        <w:t>: an NG-RAN consisting of gNBs, which provide non-terrestrial NR access to UEs by means of an NTN payload embarked on an airborne or space-borne NTN vehicle and an NTN Gateway.</w:t>
      </w:r>
    </w:p>
    <w:p w14:paraId="414FB29D" w14:textId="77777777" w:rsidR="006F2CDE" w:rsidRPr="00E96F07" w:rsidRDefault="006F2CDE" w:rsidP="006F2CDE">
      <w:pPr>
        <w:ind w:left="567"/>
      </w:pPr>
      <w:r w:rsidRPr="00E96F07">
        <w:rPr>
          <w:rFonts w:eastAsia="Malgun Gothic"/>
          <w:b/>
          <w:lang w:eastAsia="ko-KR"/>
        </w:rPr>
        <w:t>NTN Gateway</w:t>
      </w:r>
      <w:r w:rsidRPr="00E96F07">
        <w:rPr>
          <w:rFonts w:eastAsia="Malgun Gothic"/>
          <w:lang w:eastAsia="ko-KR"/>
        </w:rPr>
        <w:t>: an earth station located at the surface of the earth, providing connectivity to the NTN payload using the feeder link. An NTN Gateway is a TNL node.</w:t>
      </w:r>
    </w:p>
    <w:p w14:paraId="298416B7" w14:textId="77777777" w:rsidR="006F2CDE" w:rsidRDefault="006F2CDE" w:rsidP="006F2CDE">
      <w:pPr>
        <w:ind w:left="567"/>
      </w:pPr>
      <w:r w:rsidRPr="00E96F07">
        <w:rPr>
          <w:b/>
        </w:rPr>
        <w:lastRenderedPageBreak/>
        <w:t>NTN payload</w:t>
      </w:r>
      <w:r w:rsidRPr="00E96F07">
        <w:rPr>
          <w:bCs/>
        </w:rPr>
        <w:t>:</w:t>
      </w:r>
      <w:r w:rsidRPr="00E96F07">
        <w:t xml:space="preserve"> a network node, embarked on board a satellite or high altitude platform station, providing connectivity functions, between the service link and the feeder link. In the current version of this specification, the NTN payload is a TNL node.</w:t>
      </w:r>
    </w:p>
    <w:p w14:paraId="4B68309D" w14:textId="77777777" w:rsidR="006F2CDE" w:rsidRPr="00E96F07" w:rsidRDefault="006F2CDE" w:rsidP="006F2CDE">
      <w:pPr>
        <w:ind w:left="567"/>
      </w:pPr>
      <w:r w:rsidRPr="00E96F07">
        <w:rPr>
          <w:b/>
        </w:rPr>
        <w:t>Satellite</w:t>
      </w:r>
      <w:r w:rsidRPr="00E96F07">
        <w:rPr>
          <w:bCs/>
        </w:rPr>
        <w:t>:</w:t>
      </w:r>
      <w:r w:rsidRPr="00E96F07">
        <w:rPr>
          <w:b/>
        </w:rPr>
        <w:t xml:space="preserve"> </w:t>
      </w:r>
      <w:r w:rsidRPr="00E96F07">
        <w:t>a space-borne vehicle orbiting the Earth embarking the NTN payload.</w:t>
      </w:r>
    </w:p>
    <w:p w14:paraId="563DB492" w14:textId="771DD178" w:rsidR="006F2CDE" w:rsidRDefault="006F2CDE" w:rsidP="006F2CDE">
      <w:pPr>
        <w:ind w:left="567"/>
        <w:jc w:val="both"/>
        <w:rPr>
          <w:rFonts w:ascii="Arial" w:hAnsi="Arial" w:cs="Arial"/>
          <w:lang w:eastAsia="ja-JP"/>
        </w:rPr>
      </w:pPr>
      <w:r w:rsidRPr="00E96F07">
        <w:rPr>
          <w:b/>
        </w:rPr>
        <w:t>Service link</w:t>
      </w:r>
      <w:r w:rsidRPr="00E96F07">
        <w:rPr>
          <w:bCs/>
        </w:rPr>
        <w:t>:</w:t>
      </w:r>
      <w:r w:rsidRPr="00E96F07">
        <w:rPr>
          <w:b/>
        </w:rPr>
        <w:t xml:space="preserve"> </w:t>
      </w:r>
      <w:r w:rsidRPr="00E96F07">
        <w:t>wireless link between the NTN payload and UE.</w:t>
      </w:r>
    </w:p>
    <w:p w14:paraId="285F663C" w14:textId="77777777" w:rsidR="0091378F" w:rsidRDefault="006F2CDE" w:rsidP="003E3411">
      <w:pPr>
        <w:jc w:val="both"/>
        <w:rPr>
          <w:rFonts w:ascii="Arial" w:hAnsi="Arial" w:cs="Arial"/>
          <w:lang w:eastAsia="ja-JP"/>
        </w:rPr>
      </w:pPr>
      <w:r>
        <w:rPr>
          <w:rFonts w:ascii="Arial" w:hAnsi="Arial" w:cs="Arial"/>
          <w:lang w:eastAsia="ja-JP"/>
        </w:rPr>
        <w:t xml:space="preserve">None of these seems to require update. </w:t>
      </w:r>
    </w:p>
    <w:p w14:paraId="1577A712" w14:textId="77777777" w:rsidR="001F12FE" w:rsidRDefault="0091378F" w:rsidP="003E3411">
      <w:pPr>
        <w:jc w:val="both"/>
        <w:rPr>
          <w:rFonts w:ascii="Arial" w:hAnsi="Arial" w:cs="Arial"/>
          <w:lang w:eastAsia="ja-JP"/>
        </w:rPr>
      </w:pPr>
      <w:r>
        <w:rPr>
          <w:rFonts w:ascii="Arial" w:hAnsi="Arial" w:cs="Arial"/>
          <w:lang w:eastAsia="ja-JP"/>
        </w:rPr>
        <w:t>The NTN payload and NTN gateway can have the same definitions when regenerative and transparent architectures are both supported, but depending on the architecture they will contain different function</w:t>
      </w:r>
      <w:r w:rsidR="009A24A2">
        <w:rPr>
          <w:rFonts w:ascii="Arial" w:hAnsi="Arial" w:cs="Arial"/>
          <w:lang w:eastAsia="ja-JP"/>
        </w:rPr>
        <w:t>alities</w:t>
      </w:r>
      <w:r>
        <w:rPr>
          <w:rFonts w:ascii="Arial" w:hAnsi="Arial" w:cs="Arial"/>
          <w:lang w:eastAsia="ja-JP"/>
        </w:rPr>
        <w:t xml:space="preserve">. </w:t>
      </w:r>
    </w:p>
    <w:p w14:paraId="68F8DE5C" w14:textId="0DAE6EB6" w:rsidR="006F2CDE" w:rsidRDefault="001F12FE" w:rsidP="003E3411">
      <w:pPr>
        <w:jc w:val="both"/>
        <w:rPr>
          <w:rFonts w:ascii="Arial" w:hAnsi="Arial" w:cs="Arial"/>
          <w:lang w:eastAsia="ja-JP"/>
        </w:rPr>
      </w:pPr>
      <w:r>
        <w:rPr>
          <w:rFonts w:ascii="Arial" w:hAnsi="Arial" w:cs="Arial"/>
          <w:lang w:eastAsia="ja-JP"/>
        </w:rPr>
        <w:t xml:space="preserve">Possibly the “NTN payload” definition can be clarified to say in transparent architecture, NTN payload is a TNL node and in regenerative architecture NTN payload is an NG-RAN node. </w:t>
      </w:r>
    </w:p>
    <w:p w14:paraId="68A2CA14" w14:textId="77777777" w:rsidR="006F2CDE" w:rsidRDefault="006F2CDE" w:rsidP="003E3411">
      <w:pPr>
        <w:jc w:val="both"/>
        <w:rPr>
          <w:rFonts w:ascii="Arial" w:hAnsi="Arial" w:cs="Arial"/>
          <w:lang w:eastAsia="ja-JP"/>
        </w:rPr>
      </w:pPr>
    </w:p>
    <w:p w14:paraId="06536014" w14:textId="519C343A" w:rsidR="006F2CDE" w:rsidRDefault="006F2CDE" w:rsidP="003E3411">
      <w:pPr>
        <w:jc w:val="both"/>
        <w:rPr>
          <w:rFonts w:ascii="Arial" w:hAnsi="Arial" w:cs="Arial"/>
          <w:lang w:eastAsia="ja-JP"/>
        </w:rPr>
      </w:pPr>
      <w:bookmarkStart w:id="4" w:name="_Hlk162486562"/>
      <w:r>
        <w:rPr>
          <w:rFonts w:ascii="Arial" w:hAnsi="Arial" w:cs="Arial"/>
          <w:lang w:eastAsia="ja-JP"/>
        </w:rPr>
        <w:t>In 16.14.1 the figure needs a clarification that it is for transparent architecture</w:t>
      </w:r>
      <w:bookmarkEnd w:id="4"/>
      <w:r>
        <w:rPr>
          <w:rFonts w:ascii="Arial" w:hAnsi="Arial" w:cs="Arial"/>
          <w:lang w:eastAsia="ja-JP"/>
        </w:rPr>
        <w:t xml:space="preserve">, and possibly a new figure may be added for the regenerative payload where the NTN gateway is not part of the gNB. Further the text </w:t>
      </w:r>
      <w:r w:rsidR="0091378F">
        <w:rPr>
          <w:rFonts w:ascii="Arial" w:hAnsi="Arial" w:cs="Arial"/>
          <w:lang w:eastAsia="ja-JP"/>
        </w:rPr>
        <w:t xml:space="preserve">directly </w:t>
      </w:r>
      <w:r>
        <w:rPr>
          <w:rFonts w:ascii="Arial" w:hAnsi="Arial" w:cs="Arial"/>
          <w:lang w:eastAsia="ja-JP"/>
        </w:rPr>
        <w:t xml:space="preserve">following the figure </w:t>
      </w:r>
      <w:r w:rsidR="0091378F">
        <w:rPr>
          <w:rFonts w:ascii="Arial" w:hAnsi="Arial" w:cs="Arial"/>
          <w:lang w:eastAsia="ja-JP"/>
        </w:rPr>
        <w:t>“</w:t>
      </w:r>
      <w:r w:rsidR="0091378F" w:rsidRPr="00E96F07">
        <w:t xml:space="preserve">The NTN payload transparently forwards the radio protocol received from the UE (via the service link) to the NTN Gateway (via the feeder link) and vice-versa. </w:t>
      </w:r>
      <w:r w:rsidR="0091378F">
        <w:rPr>
          <w:rFonts w:ascii="Arial" w:hAnsi="Arial" w:cs="Arial"/>
          <w:lang w:eastAsia="ja-JP"/>
        </w:rPr>
        <w:t xml:space="preserve">” </w:t>
      </w:r>
      <w:r>
        <w:rPr>
          <w:rFonts w:ascii="Arial" w:hAnsi="Arial" w:cs="Arial"/>
          <w:lang w:eastAsia="ja-JP"/>
        </w:rPr>
        <w:t xml:space="preserve">shall be </w:t>
      </w:r>
      <w:r w:rsidR="0091378F">
        <w:rPr>
          <w:rFonts w:ascii="Arial" w:hAnsi="Arial" w:cs="Arial"/>
          <w:lang w:eastAsia="ja-JP"/>
        </w:rPr>
        <w:t>updated to also cover regenerative architecture</w:t>
      </w:r>
      <w:r w:rsidR="007173E9">
        <w:rPr>
          <w:rFonts w:ascii="Arial" w:hAnsi="Arial" w:cs="Arial"/>
          <w:lang w:eastAsia="ja-JP"/>
        </w:rPr>
        <w:t xml:space="preserve"> and possibly including the Inter Satellite Links (ISLs)</w:t>
      </w:r>
      <w:r w:rsidR="0091378F">
        <w:rPr>
          <w:rFonts w:ascii="Arial" w:hAnsi="Arial" w:cs="Arial"/>
          <w:lang w:eastAsia="ja-JP"/>
        </w:rPr>
        <w:t xml:space="preserve">. </w:t>
      </w:r>
    </w:p>
    <w:p w14:paraId="6AB073E7" w14:textId="77777777" w:rsidR="006F2CDE" w:rsidRDefault="006F2CDE" w:rsidP="003E3411">
      <w:pPr>
        <w:jc w:val="both"/>
        <w:rPr>
          <w:rFonts w:ascii="Arial" w:hAnsi="Arial" w:cs="Arial"/>
          <w:lang w:eastAsia="ja-JP"/>
        </w:rPr>
      </w:pPr>
    </w:p>
    <w:p w14:paraId="65AF3C85" w14:textId="246C4238" w:rsidR="0091378F" w:rsidRDefault="0091378F" w:rsidP="003E3411">
      <w:pPr>
        <w:jc w:val="both"/>
        <w:rPr>
          <w:rFonts w:ascii="Arial" w:hAnsi="Arial" w:cs="Arial"/>
          <w:lang w:eastAsia="ja-JP"/>
        </w:rPr>
      </w:pPr>
      <w:r>
        <w:rPr>
          <w:rFonts w:ascii="Arial" w:hAnsi="Arial" w:cs="Arial"/>
          <w:lang w:eastAsia="ja-JP"/>
        </w:rPr>
        <w:t xml:space="preserve">In 16.14.2.1 the figure needs a clarification that it is for transparent architecture and maybe a sentence about </w:t>
      </w:r>
      <w:r w:rsidR="00D541CB">
        <w:rPr>
          <w:rFonts w:ascii="Arial" w:hAnsi="Arial" w:cs="Arial"/>
          <w:lang w:eastAsia="ja-JP"/>
        </w:rPr>
        <w:t xml:space="preserve">gNB being in the NTN payload for </w:t>
      </w:r>
      <w:r>
        <w:rPr>
          <w:rFonts w:ascii="Arial" w:hAnsi="Arial" w:cs="Arial"/>
          <w:lang w:eastAsia="ja-JP"/>
        </w:rPr>
        <w:t xml:space="preserve">regenerative payload case. </w:t>
      </w:r>
    </w:p>
    <w:p w14:paraId="1D4EA4AD" w14:textId="77777777" w:rsidR="0091378F" w:rsidRDefault="0091378F" w:rsidP="003E3411">
      <w:pPr>
        <w:jc w:val="both"/>
        <w:rPr>
          <w:rFonts w:ascii="Arial" w:hAnsi="Arial" w:cs="Arial"/>
          <w:lang w:eastAsia="ja-JP"/>
        </w:rPr>
      </w:pPr>
    </w:p>
    <w:p w14:paraId="7BACFF9A" w14:textId="0FFBD60E" w:rsidR="0091378F" w:rsidRDefault="0091378F" w:rsidP="003E3411">
      <w:pPr>
        <w:jc w:val="both"/>
        <w:rPr>
          <w:rFonts w:ascii="Arial" w:hAnsi="Arial" w:cs="Arial"/>
          <w:lang w:eastAsia="ja-JP"/>
        </w:rPr>
      </w:pPr>
      <w:r>
        <w:rPr>
          <w:rFonts w:ascii="Arial" w:hAnsi="Arial" w:cs="Arial"/>
          <w:lang w:eastAsia="ja-JP"/>
        </w:rPr>
        <w:t xml:space="preserve">In 16.14.4 </w:t>
      </w:r>
      <w:r w:rsidR="007173E9">
        <w:rPr>
          <w:rFonts w:ascii="Arial" w:hAnsi="Arial" w:cs="Arial"/>
          <w:lang w:eastAsia="ja-JP"/>
        </w:rPr>
        <w:t xml:space="preserve">has lots of mentions of “feeder link” that needs updates, these were all added by RAN3 and are in RAN3 scope. </w:t>
      </w:r>
    </w:p>
    <w:p w14:paraId="63124A21" w14:textId="77777777" w:rsidR="006F2CDE" w:rsidRDefault="006F2CDE" w:rsidP="003E3411">
      <w:pPr>
        <w:jc w:val="both"/>
        <w:rPr>
          <w:rFonts w:ascii="Arial" w:hAnsi="Arial" w:cs="Arial"/>
          <w:lang w:eastAsia="ja-JP"/>
        </w:rPr>
      </w:pPr>
    </w:p>
    <w:p w14:paraId="7CDD6D11" w14:textId="2C37F68B" w:rsidR="007173E9" w:rsidRDefault="007173E9" w:rsidP="003E3411">
      <w:pPr>
        <w:jc w:val="both"/>
        <w:rPr>
          <w:rFonts w:ascii="Arial" w:hAnsi="Arial" w:cs="Arial"/>
          <w:lang w:eastAsia="ja-JP"/>
        </w:rPr>
      </w:pPr>
      <w:r>
        <w:rPr>
          <w:rFonts w:ascii="Arial" w:hAnsi="Arial" w:cs="Arial"/>
          <w:lang w:eastAsia="ja-JP"/>
        </w:rPr>
        <w:t xml:space="preserve">In 16.14.7 possibly there is a need to add O&amp;M for regenerative payload, all in RAN3 scope. </w:t>
      </w:r>
    </w:p>
    <w:p w14:paraId="675634BD" w14:textId="77777777" w:rsidR="00852C08" w:rsidRDefault="00852C08" w:rsidP="003E3411">
      <w:pPr>
        <w:jc w:val="both"/>
        <w:rPr>
          <w:rFonts w:ascii="Arial" w:hAnsi="Arial" w:cs="Arial"/>
          <w:lang w:eastAsia="ja-JP"/>
        </w:rPr>
      </w:pPr>
    </w:p>
    <w:p w14:paraId="0451439D" w14:textId="41C91470" w:rsidR="007173E9" w:rsidRDefault="007173E9" w:rsidP="003E3411">
      <w:pPr>
        <w:jc w:val="both"/>
        <w:rPr>
          <w:rFonts w:ascii="Arial" w:hAnsi="Arial" w:cs="Arial"/>
          <w:lang w:eastAsia="ja-JP"/>
        </w:rPr>
      </w:pPr>
      <w:r>
        <w:rPr>
          <w:rFonts w:ascii="Arial" w:hAnsi="Arial" w:cs="Arial"/>
          <w:lang w:eastAsia="ja-JP"/>
        </w:rPr>
        <w:t>In Appendix B.4</w:t>
      </w:r>
      <w:r w:rsidR="00852C08">
        <w:rPr>
          <w:rFonts w:ascii="Arial" w:hAnsi="Arial" w:cs="Arial"/>
          <w:lang w:eastAsia="ja-JP"/>
        </w:rPr>
        <w:t xml:space="preserve">, the figure shall be updated and the text following it, these were added by RAN3 and are in RAN3 scope. </w:t>
      </w:r>
    </w:p>
    <w:p w14:paraId="15F67F50" w14:textId="77777777" w:rsidR="007173E9" w:rsidRDefault="007173E9" w:rsidP="003E3411">
      <w:pPr>
        <w:jc w:val="both"/>
        <w:rPr>
          <w:rFonts w:ascii="Arial" w:hAnsi="Arial" w:cs="Arial"/>
          <w:lang w:eastAsia="ja-JP"/>
        </w:rPr>
      </w:pPr>
    </w:p>
    <w:p w14:paraId="12A4B0B2" w14:textId="13BD7290" w:rsidR="007712E0" w:rsidRPr="00EB6DCE" w:rsidRDefault="00852C08" w:rsidP="00852C08">
      <w:pPr>
        <w:pStyle w:val="Observation"/>
        <w:ind w:left="1701" w:hanging="1701"/>
      </w:pPr>
      <w:bookmarkStart w:id="5" w:name="_Toc163205802"/>
      <w:r>
        <w:t>Almost all changes needed in stage 2 are in text and figures that were added by RAN3 for issues that are in RAN3 scope.</w:t>
      </w:r>
      <w:bookmarkEnd w:id="5"/>
      <w:r>
        <w:t xml:space="preserve"> </w:t>
      </w:r>
    </w:p>
    <w:p w14:paraId="6DBE8D75" w14:textId="480910E7" w:rsidR="00852C08" w:rsidRPr="008307C0" w:rsidRDefault="00852C08" w:rsidP="00852C08">
      <w:pPr>
        <w:pStyle w:val="Proposal"/>
        <w:tabs>
          <w:tab w:val="clear" w:pos="1304"/>
        </w:tabs>
        <w:ind w:left="1701" w:hanging="1701"/>
      </w:pPr>
      <w:bookmarkStart w:id="6" w:name="_Toc163205804"/>
      <w:r>
        <w:t xml:space="preserve">RAN2 </w:t>
      </w:r>
      <w:r w:rsidR="00FF56E0">
        <w:t>a</w:t>
      </w:r>
      <w:r>
        <w:t>wait RAN3 input on stage 2 updates.</w:t>
      </w:r>
      <w:bookmarkEnd w:id="6"/>
      <w:r>
        <w:t xml:space="preserve"> </w:t>
      </w:r>
    </w:p>
    <w:p w14:paraId="28D91E42" w14:textId="1BEF8026" w:rsidR="00EA5DC8" w:rsidRDefault="00EA5DC8">
      <w:pPr>
        <w:spacing w:after="0" w:line="240" w:lineRule="auto"/>
        <w:rPr>
          <w:rFonts w:ascii="Arial" w:hAnsi="Arial" w:cs="Arial"/>
          <w:lang w:eastAsia="ja-JP"/>
        </w:rPr>
      </w:pPr>
      <w:r>
        <w:rPr>
          <w:rFonts w:ascii="Arial" w:hAnsi="Arial" w:cs="Arial"/>
          <w:lang w:eastAsia="ja-JP"/>
        </w:rPr>
        <w:br w:type="page"/>
      </w:r>
    </w:p>
    <w:p w14:paraId="16184499" w14:textId="3CF08A79" w:rsidR="00C01F33" w:rsidRPr="00CE0424" w:rsidRDefault="009F000A" w:rsidP="00CE0424">
      <w:pPr>
        <w:pStyle w:val="Heading1"/>
      </w:pPr>
      <w:r>
        <w:lastRenderedPageBreak/>
        <w:t>4</w:t>
      </w:r>
      <w:r w:rsidR="00850F9A">
        <w:tab/>
      </w:r>
      <w:r w:rsidR="00C01F33" w:rsidRPr="00CE0424">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1908D987" w14:textId="0FD7B512" w:rsidR="00EA5DC8" w:rsidRDefault="006F6582">
      <w:pPr>
        <w:pStyle w:val="TableofFigures"/>
        <w:tabs>
          <w:tab w:val="right" w:leader="dot" w:pos="9629"/>
        </w:tabs>
        <w:rPr>
          <w:rFonts w:asciiTheme="minorHAnsi" w:eastAsiaTheme="minorEastAsia" w:hAnsiTheme="minorHAnsi"/>
          <w:b w:val="0"/>
          <w:noProof/>
          <w:lang w:eastAsia="en-SE"/>
        </w:rPr>
      </w:pPr>
      <w:r>
        <w:rPr>
          <w:b w:val="0"/>
          <w:bCs/>
        </w:rPr>
        <w:fldChar w:fldCharType="begin"/>
      </w:r>
      <w:r>
        <w:rPr>
          <w:b w:val="0"/>
          <w:bCs/>
        </w:rPr>
        <w:instrText xml:space="preserve"> TOC \f O \n \h \z \t "Observation" \c </w:instrText>
      </w:r>
      <w:r>
        <w:rPr>
          <w:b w:val="0"/>
          <w:bCs/>
        </w:rPr>
        <w:fldChar w:fldCharType="separate"/>
      </w:r>
      <w:hyperlink w:anchor="_Toc163205802" w:history="1">
        <w:r w:rsidR="00EA5DC8" w:rsidRPr="00AF4116">
          <w:rPr>
            <w:rStyle w:val="Hyperlink"/>
            <w:noProof/>
          </w:rPr>
          <w:t>Observation 1</w:t>
        </w:r>
        <w:r w:rsidR="00EA5DC8">
          <w:rPr>
            <w:rFonts w:asciiTheme="minorHAnsi" w:eastAsiaTheme="minorEastAsia" w:hAnsiTheme="minorHAnsi"/>
            <w:b w:val="0"/>
            <w:noProof/>
            <w:lang w:eastAsia="en-SE"/>
          </w:rPr>
          <w:tab/>
        </w:r>
        <w:r w:rsidR="00EA5DC8" w:rsidRPr="00AF4116">
          <w:rPr>
            <w:rStyle w:val="Hyperlink"/>
            <w:noProof/>
          </w:rPr>
          <w:t>Almost all changes needed in stage 2 are in text and figures that were added by RAN3 for issues that are in RAN3 scope.</w:t>
        </w:r>
      </w:hyperlink>
    </w:p>
    <w:p w14:paraId="775CB46E" w14:textId="038DD44F"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5A11E6C3" w14:textId="2F2F15D1" w:rsidR="00EA5DC8" w:rsidRDefault="006E1C82">
      <w:pPr>
        <w:pStyle w:val="TableofFigures"/>
        <w:tabs>
          <w:tab w:val="right" w:leader="dot" w:pos="9629"/>
        </w:tabs>
        <w:rPr>
          <w:rFonts w:asciiTheme="minorHAnsi" w:eastAsiaTheme="minorEastAsia" w:hAnsiTheme="minorHAnsi"/>
          <w:b w:val="0"/>
          <w:noProof/>
          <w:lang w:eastAsia="en-SE"/>
        </w:rPr>
      </w:pPr>
      <w:r>
        <w:rPr>
          <w:b w:val="0"/>
          <w:bCs/>
        </w:rPr>
        <w:fldChar w:fldCharType="begin"/>
      </w:r>
      <w:r>
        <w:rPr>
          <w:b w:val="0"/>
          <w:bCs/>
        </w:rPr>
        <w:instrText xml:space="preserve"> TOC \n \h \z \t "Proposal" \c </w:instrText>
      </w:r>
      <w:r>
        <w:rPr>
          <w:b w:val="0"/>
          <w:bCs/>
        </w:rPr>
        <w:fldChar w:fldCharType="separate"/>
      </w:r>
      <w:hyperlink w:anchor="_Toc163205804" w:history="1">
        <w:r w:rsidR="00EA5DC8" w:rsidRPr="00404FB6">
          <w:rPr>
            <w:rStyle w:val="Hyperlink"/>
            <w:noProof/>
          </w:rPr>
          <w:t>Proposal 1</w:t>
        </w:r>
        <w:r w:rsidR="00EA5DC8">
          <w:rPr>
            <w:rFonts w:asciiTheme="minorHAnsi" w:eastAsiaTheme="minorEastAsia" w:hAnsiTheme="minorHAnsi"/>
            <w:b w:val="0"/>
            <w:noProof/>
            <w:lang w:eastAsia="en-SE"/>
          </w:rPr>
          <w:tab/>
        </w:r>
        <w:r w:rsidR="00EA5DC8" w:rsidRPr="00404FB6">
          <w:rPr>
            <w:rStyle w:val="Hyperlink"/>
            <w:noProof/>
          </w:rPr>
          <w:t>RAN2 await RAN3 input on stage 2 updates.</w:t>
        </w:r>
      </w:hyperlink>
    </w:p>
    <w:p w14:paraId="26EBCCF9" w14:textId="7BCEA64C" w:rsidR="00C01F33" w:rsidRPr="009C2D28" w:rsidRDefault="006E1C82" w:rsidP="009C2D28">
      <w:pPr>
        <w:pStyle w:val="BodyText"/>
        <w:rPr>
          <w:b/>
          <w:bCs/>
        </w:rPr>
      </w:pPr>
      <w:r>
        <w:rPr>
          <w:b/>
          <w:bCs/>
        </w:rPr>
        <w:fldChar w:fldCharType="end"/>
      </w:r>
    </w:p>
    <w:p w14:paraId="3F23459F" w14:textId="77777777" w:rsidR="00F507D1" w:rsidRPr="00CE0424" w:rsidRDefault="00F507D1" w:rsidP="00CE0424">
      <w:pPr>
        <w:pStyle w:val="Heading1"/>
      </w:pPr>
      <w:bookmarkStart w:id="7" w:name="_In-sequence_SDU_delivery"/>
      <w:bookmarkEnd w:id="7"/>
      <w:r w:rsidRPr="00CE0424">
        <w:t>References</w:t>
      </w:r>
    </w:p>
    <w:p w14:paraId="03BE2943" w14:textId="433B0E46" w:rsidR="003A7EF3" w:rsidRDefault="003905B0" w:rsidP="00CE0424">
      <w:pPr>
        <w:pStyle w:val="Reference"/>
      </w:pPr>
      <w:bookmarkStart w:id="8" w:name="_Ref42716514"/>
      <w:bookmarkStart w:id="9" w:name="_Ref45286859"/>
      <w:bookmarkStart w:id="10" w:name="_Ref174151459"/>
      <w:bookmarkStart w:id="11" w:name="_Ref189809556"/>
      <w:r w:rsidRPr="003905B0">
        <w:t>RP-2</w:t>
      </w:r>
      <w:r w:rsidR="00DF0344">
        <w:t>40775</w:t>
      </w:r>
      <w:r w:rsidR="002A2A3F" w:rsidRPr="00663F19">
        <w:t>, “</w:t>
      </w:r>
      <w:r w:rsidR="00DF0344" w:rsidRPr="00DF0344">
        <w:t>Revised WID: Non-Terrestrial Networks (NTN) for NR Phase 3</w:t>
      </w:r>
      <w:r w:rsidR="002A2A3F" w:rsidRPr="00EB6DCE">
        <w:t>” 3GPP TSG RAN#</w:t>
      </w:r>
      <w:r w:rsidR="006F44B2">
        <w:t>10</w:t>
      </w:r>
      <w:r w:rsidR="00DF0344">
        <w:t>3</w:t>
      </w:r>
      <w:r w:rsidR="002A2A3F" w:rsidRPr="00EB6DCE">
        <w:t xml:space="preserve">, </w:t>
      </w:r>
      <w:bookmarkEnd w:id="8"/>
      <w:r w:rsidR="00DF0344">
        <w:t>Mar</w:t>
      </w:r>
      <w:r w:rsidR="001A37E9">
        <w:t>. 2024</w:t>
      </w:r>
      <w:r w:rsidR="004D4967" w:rsidRPr="00EB6DCE">
        <w:t>.</w:t>
      </w:r>
      <w:bookmarkEnd w:id="9"/>
      <w:bookmarkEnd w:id="10"/>
      <w:bookmarkEnd w:id="11"/>
    </w:p>
    <w:p w14:paraId="66DAF18B" w14:textId="5BB15F11" w:rsidR="002827FD" w:rsidRPr="00EB6DCE" w:rsidRDefault="002827FD" w:rsidP="001A37E9">
      <w:pPr>
        <w:pStyle w:val="Reference"/>
        <w:numPr>
          <w:ilvl w:val="0"/>
          <w:numId w:val="0"/>
        </w:numPr>
        <w:ind w:left="567" w:hanging="567"/>
      </w:pPr>
    </w:p>
    <w:sectPr w:rsidR="002827FD"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D0944" w14:textId="77777777" w:rsidR="001A50C5" w:rsidRDefault="001A50C5">
      <w:r>
        <w:separator/>
      </w:r>
    </w:p>
  </w:endnote>
  <w:endnote w:type="continuationSeparator" w:id="0">
    <w:p w14:paraId="083DA5CB" w14:textId="77777777" w:rsidR="001A50C5" w:rsidRDefault="001A50C5">
      <w:r>
        <w:continuationSeparator/>
      </w:r>
    </w:p>
  </w:endnote>
  <w:endnote w:type="continuationNotice" w:id="1">
    <w:p w14:paraId="748BC3A8" w14:textId="77777777" w:rsidR="001A50C5" w:rsidRDefault="001A5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F5E8" w14:textId="77777777" w:rsidR="001A50C5" w:rsidRDefault="001A50C5">
      <w:r>
        <w:separator/>
      </w:r>
    </w:p>
  </w:footnote>
  <w:footnote w:type="continuationSeparator" w:id="0">
    <w:p w14:paraId="71DB9C72" w14:textId="77777777" w:rsidR="001A50C5" w:rsidRDefault="001A50C5">
      <w:r>
        <w:continuationSeparator/>
      </w:r>
    </w:p>
  </w:footnote>
  <w:footnote w:type="continuationNotice" w:id="1">
    <w:p w14:paraId="54E3FD83" w14:textId="77777777" w:rsidR="001A50C5" w:rsidRDefault="001A50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399A4AC0"/>
    <w:lvl w:ilvl="0" w:tplc="5282C6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35895313">
    <w:abstractNumId w:val="5"/>
  </w:num>
  <w:num w:numId="2" w16cid:durableId="748383013">
    <w:abstractNumId w:val="24"/>
  </w:num>
  <w:num w:numId="3" w16cid:durableId="626470624">
    <w:abstractNumId w:val="18"/>
  </w:num>
  <w:num w:numId="4" w16cid:durableId="1505129281">
    <w:abstractNumId w:val="19"/>
  </w:num>
  <w:num w:numId="5" w16cid:durableId="1501963159">
    <w:abstractNumId w:val="15"/>
  </w:num>
  <w:num w:numId="6" w16cid:durableId="71702907">
    <w:abstractNumId w:val="22"/>
  </w:num>
  <w:num w:numId="7" w16cid:durableId="992100486">
    <w:abstractNumId w:val="29"/>
  </w:num>
  <w:num w:numId="8" w16cid:durableId="1682471746">
    <w:abstractNumId w:val="16"/>
  </w:num>
  <w:num w:numId="9" w16cid:durableId="2093575527">
    <w:abstractNumId w:val="12"/>
  </w:num>
  <w:num w:numId="10" w16cid:durableId="1669482877">
    <w:abstractNumId w:val="2"/>
  </w:num>
  <w:num w:numId="11" w16cid:durableId="1756170888">
    <w:abstractNumId w:val="1"/>
  </w:num>
  <w:num w:numId="12" w16cid:durableId="249698455">
    <w:abstractNumId w:val="0"/>
  </w:num>
  <w:num w:numId="13" w16cid:durableId="2129155411">
    <w:abstractNumId w:val="26"/>
  </w:num>
  <w:num w:numId="14" w16cid:durableId="34082472">
    <w:abstractNumId w:val="27"/>
  </w:num>
  <w:num w:numId="15" w16cid:durableId="156966454">
    <w:abstractNumId w:val="21"/>
  </w:num>
  <w:num w:numId="16" w16cid:durableId="846481830">
    <w:abstractNumId w:val="30"/>
  </w:num>
  <w:num w:numId="17" w16cid:durableId="1144616275">
    <w:abstractNumId w:val="10"/>
  </w:num>
  <w:num w:numId="18" w16cid:durableId="1765567034">
    <w:abstractNumId w:val="11"/>
  </w:num>
  <w:num w:numId="19" w16cid:durableId="225529683">
    <w:abstractNumId w:val="7"/>
  </w:num>
  <w:num w:numId="20" w16cid:durableId="1152791407">
    <w:abstractNumId w:val="33"/>
  </w:num>
  <w:num w:numId="21" w16cid:durableId="881554179">
    <w:abstractNumId w:val="17"/>
  </w:num>
  <w:num w:numId="22" w16cid:durableId="1289358417">
    <w:abstractNumId w:val="32"/>
  </w:num>
  <w:num w:numId="23" w16cid:durableId="545413202">
    <w:abstractNumId w:val="8"/>
  </w:num>
  <w:num w:numId="24" w16cid:durableId="15749707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9"/>
  </w:num>
  <w:num w:numId="26" w16cid:durableId="906770094">
    <w:abstractNumId w:val="31"/>
  </w:num>
  <w:num w:numId="27" w16cid:durableId="1326276714">
    <w:abstractNumId w:val="3"/>
  </w:num>
  <w:num w:numId="28" w16cid:durableId="903298183">
    <w:abstractNumId w:val="4"/>
  </w:num>
  <w:num w:numId="29" w16cid:durableId="604117251">
    <w:abstractNumId w:val="25"/>
  </w:num>
  <w:num w:numId="30" w16cid:durableId="1160849801">
    <w:abstractNumId w:val="6"/>
  </w:num>
  <w:num w:numId="31" w16cid:durableId="818115662">
    <w:abstractNumId w:val="28"/>
  </w:num>
  <w:num w:numId="32" w16cid:durableId="156194349">
    <w:abstractNumId w:val="34"/>
  </w:num>
  <w:num w:numId="33" w16cid:durableId="940916764">
    <w:abstractNumId w:val="23"/>
  </w:num>
  <w:num w:numId="34" w16cid:durableId="37584336">
    <w:abstractNumId w:val="18"/>
  </w:num>
  <w:num w:numId="35" w16cid:durableId="745904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35"/>
  </w:num>
  <w:num w:numId="37" w16cid:durableId="1797018604">
    <w:abstractNumId w:val="13"/>
  </w:num>
  <w:num w:numId="38" w16cid:durableId="1783577073">
    <w:abstractNumId w:val="20"/>
  </w:num>
  <w:num w:numId="39" w16cid:durableId="2118404548">
    <w:abstractNumId w:val="26"/>
  </w:num>
  <w:num w:numId="40" w16cid:durableId="1411653121">
    <w:abstractNumId w:val="14"/>
  </w:num>
  <w:num w:numId="41" w16cid:durableId="11089860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94A"/>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4D"/>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0CBF"/>
    <w:rsid w:val="0018143F"/>
    <w:rsid w:val="00181FF8"/>
    <w:rsid w:val="00190AC1"/>
    <w:rsid w:val="0019341A"/>
    <w:rsid w:val="00197DF9"/>
    <w:rsid w:val="001A1987"/>
    <w:rsid w:val="001A2564"/>
    <w:rsid w:val="001A37E9"/>
    <w:rsid w:val="001A50C5"/>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12FE"/>
    <w:rsid w:val="001F3916"/>
    <w:rsid w:val="001F54C5"/>
    <w:rsid w:val="001F662C"/>
    <w:rsid w:val="001F7074"/>
    <w:rsid w:val="00200490"/>
    <w:rsid w:val="00201F3A"/>
    <w:rsid w:val="00203F96"/>
    <w:rsid w:val="002069B2"/>
    <w:rsid w:val="00207FA3"/>
    <w:rsid w:val="00213980"/>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0B54"/>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2F5612"/>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05B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3411"/>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5798"/>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53CF"/>
    <w:rsid w:val="00532029"/>
    <w:rsid w:val="00534B59"/>
    <w:rsid w:val="00536759"/>
    <w:rsid w:val="00537C62"/>
    <w:rsid w:val="00546970"/>
    <w:rsid w:val="00552297"/>
    <w:rsid w:val="00553466"/>
    <w:rsid w:val="00554E19"/>
    <w:rsid w:val="0056121F"/>
    <w:rsid w:val="0056402C"/>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1373"/>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2CDE"/>
    <w:rsid w:val="006F341D"/>
    <w:rsid w:val="006F3CDE"/>
    <w:rsid w:val="006F44B2"/>
    <w:rsid w:val="006F58D4"/>
    <w:rsid w:val="006F6582"/>
    <w:rsid w:val="0070107B"/>
    <w:rsid w:val="0070346E"/>
    <w:rsid w:val="00704EDB"/>
    <w:rsid w:val="00706101"/>
    <w:rsid w:val="00707072"/>
    <w:rsid w:val="00707D61"/>
    <w:rsid w:val="00712287"/>
    <w:rsid w:val="00712772"/>
    <w:rsid w:val="007148D3"/>
    <w:rsid w:val="00715B9A"/>
    <w:rsid w:val="007173E9"/>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977D5"/>
    <w:rsid w:val="007A1CB3"/>
    <w:rsid w:val="007A306F"/>
    <w:rsid w:val="007A43A6"/>
    <w:rsid w:val="007A58A6"/>
    <w:rsid w:val="007B3D2D"/>
    <w:rsid w:val="007B50AE"/>
    <w:rsid w:val="007B51DF"/>
    <w:rsid w:val="007C05DD"/>
    <w:rsid w:val="007C3D18"/>
    <w:rsid w:val="007C60BF"/>
    <w:rsid w:val="007C6A07"/>
    <w:rsid w:val="007C75A1"/>
    <w:rsid w:val="007C77A5"/>
    <w:rsid w:val="007C7E7D"/>
    <w:rsid w:val="007D04E5"/>
    <w:rsid w:val="007D5901"/>
    <w:rsid w:val="007D6515"/>
    <w:rsid w:val="007D7526"/>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1AE2"/>
    <w:rsid w:val="008444E8"/>
    <w:rsid w:val="008445EB"/>
    <w:rsid w:val="00844A36"/>
    <w:rsid w:val="00844E80"/>
    <w:rsid w:val="00846FE7"/>
    <w:rsid w:val="00850F9A"/>
    <w:rsid w:val="008526D4"/>
    <w:rsid w:val="00852C08"/>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716D"/>
    <w:rsid w:val="008A21FF"/>
    <w:rsid w:val="008A2CE2"/>
    <w:rsid w:val="008A30AC"/>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5794"/>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78F"/>
    <w:rsid w:val="009139D9"/>
    <w:rsid w:val="00914AD8"/>
    <w:rsid w:val="00916079"/>
    <w:rsid w:val="00917CE9"/>
    <w:rsid w:val="0092075B"/>
    <w:rsid w:val="00920BF2"/>
    <w:rsid w:val="00922010"/>
    <w:rsid w:val="0092735F"/>
    <w:rsid w:val="00931BD9"/>
    <w:rsid w:val="009368F3"/>
    <w:rsid w:val="00941636"/>
    <w:rsid w:val="0094258A"/>
    <w:rsid w:val="00943742"/>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477"/>
    <w:rsid w:val="00984436"/>
    <w:rsid w:val="00985253"/>
    <w:rsid w:val="009853B3"/>
    <w:rsid w:val="00990630"/>
    <w:rsid w:val="00991761"/>
    <w:rsid w:val="00994DCA"/>
    <w:rsid w:val="009960EC"/>
    <w:rsid w:val="009970DD"/>
    <w:rsid w:val="009A0FBA"/>
    <w:rsid w:val="009A1601"/>
    <w:rsid w:val="009A24A2"/>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47A3"/>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3B29"/>
    <w:rsid w:val="00A264A9"/>
    <w:rsid w:val="00A26DCF"/>
    <w:rsid w:val="00A27785"/>
    <w:rsid w:val="00A30187"/>
    <w:rsid w:val="00A3448A"/>
    <w:rsid w:val="00A36297"/>
    <w:rsid w:val="00A41E2B"/>
    <w:rsid w:val="00A43547"/>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1ED6"/>
    <w:rsid w:val="00AA51D6"/>
    <w:rsid w:val="00AA7067"/>
    <w:rsid w:val="00AB0848"/>
    <w:rsid w:val="00AB0BC8"/>
    <w:rsid w:val="00AB1180"/>
    <w:rsid w:val="00AB11CA"/>
    <w:rsid w:val="00AB14D9"/>
    <w:rsid w:val="00AB1B7B"/>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64C7"/>
    <w:rsid w:val="00B739F6"/>
    <w:rsid w:val="00B81A6C"/>
    <w:rsid w:val="00B81C2D"/>
    <w:rsid w:val="00B85DE5"/>
    <w:rsid w:val="00B90727"/>
    <w:rsid w:val="00B90962"/>
    <w:rsid w:val="00B90F73"/>
    <w:rsid w:val="00B93B59"/>
    <w:rsid w:val="00B9406A"/>
    <w:rsid w:val="00B94B76"/>
    <w:rsid w:val="00B96390"/>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4E89"/>
    <w:rsid w:val="00C279B5"/>
    <w:rsid w:val="00C27C45"/>
    <w:rsid w:val="00C32FD2"/>
    <w:rsid w:val="00C3719D"/>
    <w:rsid w:val="00C37C74"/>
    <w:rsid w:val="00C37CB2"/>
    <w:rsid w:val="00C42E94"/>
    <w:rsid w:val="00C473A5"/>
    <w:rsid w:val="00C47D9E"/>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E0424"/>
    <w:rsid w:val="00CE05AE"/>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1FF"/>
    <w:rsid w:val="00D519ED"/>
    <w:rsid w:val="00D541CB"/>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9742B"/>
    <w:rsid w:val="00DA305E"/>
    <w:rsid w:val="00DA5417"/>
    <w:rsid w:val="00DA56E8"/>
    <w:rsid w:val="00DB0A9F"/>
    <w:rsid w:val="00DB377D"/>
    <w:rsid w:val="00DB3B3C"/>
    <w:rsid w:val="00DC2D36"/>
    <w:rsid w:val="00DC53EF"/>
    <w:rsid w:val="00DD689F"/>
    <w:rsid w:val="00DE5608"/>
    <w:rsid w:val="00DE58D0"/>
    <w:rsid w:val="00DE654F"/>
    <w:rsid w:val="00DF0344"/>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DC8"/>
    <w:rsid w:val="00EA7A41"/>
    <w:rsid w:val="00EB077B"/>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5DFB"/>
    <w:rsid w:val="00F15FA5"/>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B8E"/>
    <w:rsid w:val="00FB1CCF"/>
    <w:rsid w:val="00FB4C80"/>
    <w:rsid w:val="00FB5D96"/>
    <w:rsid w:val="00FB6A6A"/>
    <w:rsid w:val="00FC0DF8"/>
    <w:rsid w:val="00FC3817"/>
    <w:rsid w:val="00FC7429"/>
    <w:rsid w:val="00FD07F6"/>
    <w:rsid w:val="00FD1EC8"/>
    <w:rsid w:val="00FD47ED"/>
    <w:rsid w:val="00FD74DB"/>
    <w:rsid w:val="00FD7660"/>
    <w:rsid w:val="00FE0655"/>
    <w:rsid w:val="00FE2365"/>
    <w:rsid w:val="00FE37D7"/>
    <w:rsid w:val="00FE4C7B"/>
    <w:rsid w:val="00FE7336"/>
    <w:rsid w:val="00FE787C"/>
    <w:rsid w:val="00FF45A5"/>
    <w:rsid w:val="00FF56E0"/>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817"/>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C38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81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4614</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36</cp:revision>
  <cp:lastPrinted>2008-02-01T02:09:00Z</cp:lastPrinted>
  <dcterms:created xsi:type="dcterms:W3CDTF">2024-03-15T15:59:00Z</dcterms:created>
  <dcterms:modified xsi:type="dcterms:W3CDTF">2024-04-05T08:41:00Z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